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document xmlns="http://schemas.openxmlformats.org/wordprocessingml/2006/main" xmlns:ns1="http://schemas.openxmlformats.org/markup-compatibility/2006" xmlns:ns2="http://schemas.openxmlformats.org/officeDocument/2006/relationships" ns1:Ignorable="w14 w15 wp14">
  <body>
    <p>
      <pPr>
        <spacing after="60" before="100"/>
      </pPr>
      <r>
        <rPr>
          <rFonts ascii="Calibri" cs="Calibri" eastAsia="Calibri" hAnsi="Calibri"/>
          <b/>
          <bCs/>
          <color val="2E74B5"/>
          <sz val="22"/>
          <szCs val="22"/>
        </rPr>
        <t xml:space="preserve">BUSINESS RESILIENCE PULSE CHECK</t>
      </r>
    </p>
    <p>
      <pPr>
        <spacing after="200"/>
      </pPr>
      <r>
        <rPr>
          <rFonts ascii="Calibri" cs="Calibri" eastAsia="Calibri" hAnsi="Calibri"/>
          <b/>
          <bCs/>
          <color val="595959"/>
          <sz val="20"/>
          <szCs val="20"/>
        </rPr>
        <t xml:space="preserve">PC-603</t>
      </r>
    </p>
    <p>
      <pPr>
        <spacing after="120"/>
      </pPr>
      <r>
        <rPr>
          <rFonts ascii="Calibri" cs="Calibri" eastAsia="Calibri" hAnsi="Calibri"/>
          <b/>
          <bCs/>
          <color val="1F3864"/>
          <sz val="52"/>
          <szCs val="52"/>
        </rPr>
        <t xml:space="preserve">Compliance Evidence Package</t>
      </r>
    </p>
    <p>
      <pPr>
        <spacing after="100"/>
      </pPr>
      <r>
        <rPr>
          <rFonts ascii="Calibri" cs="Calibri" eastAsia="Calibri" hAnsi="Calibri"/>
          <color val="595959"/>
          <sz val="24"/>
          <szCs val="24"/>
        </rPr>
        <t xml:space="preserve">Audit-ready bundle documenting exercise completion for regulatory and insurance purposes</t>
      </r>
    </p>
    <p>
      <pPr>
        <pBdr>
          <bottom val="single" color="2E74B5" sz="8" space="6"/>
        </pBdr>
        <spacing after="80"/>
      </pPr>
      <r>
        <rPr>
          <rFonts ascii="Calibri" cs="Calibri" eastAsia="Calibri" hAnsi="Calibri"/>
          <color val="595959"/>
          <sz val="20"/>
          <szCs val="20"/>
        </rPr>
        <t xml:space="preserve">Assembly Guide  |  Version 1.0  |  July 2026</t>
      </r>
    </p>
    <p>
      <pPr>
        <spacing after="160"/>
      </pPr>
    </p>
    <p>
      <pPr>
        <pStyle val="Heading1"/>
        <keepNext/>
        <spacing after="140" before="320"/>
      </pPr>
      <r>
        <rPr>
          <rFonts ascii="Calibri" cs="Calibri" eastAsia="Calibri" hAnsi="Calibri"/>
          <b/>
          <bCs/>
          <color val="1F3864"/>
          <sz val="30"/>
          <szCs val="30"/>
        </rPr>
        <t xml:space="preserve">Purpose</t>
      </r>
    </p>
    <p>
      <pPr>
        <spacing after="120" before="0" line="276"/>
      </pPr>
      <r>
        <rPr>
          <rFonts ascii="Calibri" cs="Calibri" eastAsia="Calibri" hAnsi="Calibri"/>
          <color val="404040"/>
          <sz val="21"/>
          <szCs val="21"/>
        </rPr>
        <t xml:space="preserve">The Compliance Evidence Package assembles the documentation auditors, regulators, and insurance carriers need to verify that a tabletop exercise was conducted: who participated, what was tested, and what improvements were identified. It is designed to support the exercise and testing requirements of multiple compliance frameworks simultaneously, from a single Business Resilience Pulse Check engagement.</t>
      </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1F3864" sz="24"/>
              <bottom val="none" color="FFFFFF" sz="0"/>
              <right val="none" color="FFFFFF" sz="0"/>
            </tcBorders>
            <shd fill="EDF2F9" val="clear"/>
            <tcMar>
              <top type="dxa" w="100"/>
              <left type="dxa" w="160"/>
              <bottom type="dxa" w="100"/>
              <right type="dxa" w="160"/>
            </tcMar>
          </tcPr>
          <p>
            <pPr>
              <spacing after="60"/>
            </pPr>
            <r>
              <rPr>
                <rFonts ascii="Calibri" cs="Calibri" eastAsia="Calibri" hAnsi="Calibri"/>
                <b/>
                <bCs/>
                <color val="1F3864"/>
                <sz val="20"/>
                <szCs val="20"/>
              </rPr>
              <t xml:space="preserve">ℹ  GUIDANCE: Framework Coverage</t>
            </r>
          </p>
          <p>
            <pPr>
              <spacing after="40" before="0" line="276"/>
            </pPr>
            <r>
              <rPr>
                <rFonts ascii="Calibri" cs="Calibri" eastAsia="Calibri" hAnsi="Calibri"/>
                <color val="404040"/>
                <sz val="20"/>
                <szCs val="20"/>
              </rPr>
              <t xml:space="preserve">This package is structured to support: NIST CSF 2.0 (PR.IP-10), HIPAA §164.308(a)(8), PCI-DSS v4.0 Requirement 12.10.2, CMMC Level 2 §3.6.3, SOC 2 CC7.4/CC7.5, ISO 27001 A.17.1.3, and general cyber insurance testing requirements. It supports these requirements but does not guarantee their satisfaction: those determinations rest with the client’s auditor, regulator, or counsel.</t>
            </r>
          </p>
        </tc>
      </tr>
    </tbl>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595959" sz="24"/>
              <bottom val="none" color="FFFFFF" sz="0"/>
              <right val="none" color="FFFFFF" sz="0"/>
            </tcBorders>
            <shd fill="F2F2F2" val="clear"/>
            <tcMar>
              <top type="dxa" w="100"/>
              <left type="dxa" w="160"/>
              <bottom type="dxa" w="100"/>
              <right type="dxa" w="160"/>
            </tcMar>
          </tcPr>
          <p>
            <pPr>
              <spacing after="60"/>
            </pPr>
            <r>
              <rPr>
                <rFonts ascii="Calibri" cs="Calibri" eastAsia="Calibri" hAnsi="Calibri"/>
                <b/>
                <bCs/>
                <color val="595959"/>
                <sz val="20"/>
                <szCs val="20"/>
              </rPr>
              <t xml:space="preserve">NOTE: Scope of the Evidence</t>
            </r>
          </p>
          <p>
            <pPr>
              <spacing after="40" before="0" line="276"/>
            </pPr>
            <r>
              <rPr>
                <rFonts ascii="Calibri" cs="Calibri" eastAsia="Calibri" hAnsi="Calibri"/>
                <color val="404040"/>
                <sz val="20"/>
                <szCs val="20"/>
              </rPr>
              <t xml:space="preserve">The package documents a single-scenario, discussion-based exercise. The AAR’s scope limitation statement travels with the evidence: the Pulse Check samples organizational resilience through one scenario lens and does not evaluate the full breadth of the client’s technology, administrative, and operations stack. Present the evidence as proof that testing occurred and improvement is tracked, not as a comprehensive assessment of the client’s environment.</t>
            </r>
          </p>
        </tc>
      </tr>
    </tbl>
    <p>
      <pPr>
        <spacing after="120"/>
      </pPr>
    </p>
    <p>
      <pPr>
        <pStyle val="Heading1"/>
        <keepNext/>
        <spacing after="140" before="320"/>
      </pPr>
      <r>
        <rPr>
          <rFonts ascii="Calibri" cs="Calibri" eastAsia="Calibri" hAnsi="Calibri"/>
          <b/>
          <bCs/>
          <color val="1F3864"/>
          <sz val="30"/>
          <szCs val="30"/>
        </rPr>
        <t xml:space="preserve">Package Contents Checklist</t>
      </r>
    </p>
    <p>
      <pPr>
        <spacing after="120" before="0" line="276"/>
      </pPr>
      <r>
        <rPr>
          <rFonts ascii="Calibri" cs="Calibri" eastAsia="Calibri" hAnsi="Calibri"/>
          <color val="404040"/>
          <sz val="21"/>
          <szCs val="21"/>
        </rPr>
        <t xml:space="preserve">Assemble the following nine documents into a single package, in this order. Each serves a specific evidentiary purpose. Use final versions only.</t>
      </r>
    </p>
    <tbl>
      <tblPr>
        <tblW type="dxa" w="9360"/>
        <tblBorders>
          <top val="single" color="BFBFBF" sz="4"/>
          <left val="single" color="BFBFBF" sz="4"/>
          <bottom val="single" color="BFBFBF" sz="4"/>
          <right val="single" color="BFBFBF" sz="4"/>
          <insideH val="single" color="BFBFBF" sz="4"/>
          <insideV val="single" color="BFBFBF" sz="4"/>
        </tblBorders>
      </tblPr>
      <tblGrid>
        <gridCol w="420"/>
        <gridCol w="2140"/>
        <gridCol w="3050"/>
        <gridCol w="2600"/>
        <gridCol w="1150"/>
      </tblGrid>
      <tr>
        <trPr>
          <tblHeader/>
        </trPr>
        <tc>
          <tcPr>
            <tcW type="dxa" w="42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t>
            </r>
          </p>
        </tc>
        <tc>
          <tcPr>
            <tcW type="dxa" w="214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Document</t>
            </r>
          </p>
        </tc>
        <tc>
          <tcPr>
            <tcW type="dxa" w="305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Evidentiary Purpose</t>
            </r>
          </p>
        </tc>
        <tc>
          <tcPr>
            <tcW type="dxa" w="260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Source</t>
            </r>
          </p>
        </tc>
        <tc>
          <tcPr>
            <tcW type="dxa" w="1150"/>
            <shd fill="1F3864" val="clear"/>
            <tcMar>
              <top type="dxa" w="70"/>
              <left type="dxa" w="110"/>
              <bottom type="dxa" w="70"/>
              <right type="dxa" w="110"/>
            </tcMar>
            <vAlign val="top"/>
          </tcPr>
          <p>
            <pPr>
              <spacing after="40" before="0" line="276"/>
            </pPr>
            <r>
              <rPr>
                <rFonts ascii="Calibri" cs="Calibri" eastAsia="Calibri" hAnsi="Calibri"/>
                <b/>
                <bCs/>
                <color val="FFFFFF"/>
                <sz val="20"/>
                <szCs val="20"/>
              </rPr>
              <t xml:space="preserve">Included?</t>
            </r>
          </p>
        </tc>
      </tr>
      <tr>
        <tc>
          <tcPr>
            <tcW type="dxa" w="42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1</t>
            </r>
          </p>
        </tc>
        <tc>
          <tcPr>
            <tcW type="dxa" w="214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Completion Certificate or Cover Letter</t>
            </r>
          </p>
        </tc>
        <tc>
          <tcPr>
            <tcW type="dxa" w="30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Formal attestation that the exercise was conducted on the stated date with the stated participants.</t>
            </r>
          </p>
        </tc>
        <tc>
          <tcPr>
            <tcW type="dxa" w="2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Facilitator creates from engagement records</t>
            </r>
          </p>
        </tc>
        <tc>
          <tcPr>
            <tcW type="dxa" w="11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2</t>
            </r>
          </p>
        </tc>
        <tc>
          <tcPr>
            <tcW type="dxa" w="214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Sign-In Sheet</t>
            </r>
          </p>
        </tc>
        <tc>
          <tcPr>
            <tcW type="dxa" w="30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Proof of participation: names, titles, departments, and signatures of all participants.</t>
            </r>
          </p>
        </tc>
        <tc>
          <tcPr>
            <tcW type="dxa" w="26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Original from the Exercise Day Forms (05 - Deliver folder)</t>
            </r>
          </p>
        </tc>
        <tc>
          <tcPr>
            <tcW type="dxa" w="11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3</t>
            </r>
          </p>
        </tc>
        <tc>
          <tcPr>
            <tcW type="dxa" w="214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Agenda</t>
            </r>
          </p>
        </tc>
        <tc>
          <tcPr>
            <tcW type="dxa" w="30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Documents the scope, duration, and structure of the exercise.</t>
            </r>
          </p>
        </tc>
        <tc>
          <tcPr>
            <tcW type="dxa" w="2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Facilitator Guide (05 - Deliver folder)</t>
            </r>
          </p>
        </tc>
        <tc>
          <tcPr>
            <tcW type="dxa" w="11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4</t>
            </r>
          </p>
        </tc>
        <tc>
          <tcPr>
            <tcW type="dxa" w="214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Exercise Objectives</t>
            </r>
          </p>
        </tc>
        <tc>
          <tcPr>
            <tcW type="dxa" w="30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Documents what capabilities were tested and the design rationale.</t>
            </r>
          </p>
        </tc>
        <tc>
          <tcPr>
            <tcW type="dxa" w="26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Planning Workbook (03 - Plan folder)</t>
            </r>
          </p>
        </tc>
        <tc>
          <tcPr>
            <tcW type="dxa" w="11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5</t>
            </r>
          </p>
        </tc>
        <tc>
          <tcPr>
            <tcW type="dxa" w="214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Scenario Summary</t>
            </r>
          </p>
        </tc>
        <tc>
          <tcPr>
            <tcW type="dxa" w="30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Documents the scenario used, the disruption type, and the customization applied.</t>
            </r>
          </p>
        </tc>
        <tc>
          <tcPr>
            <tcW type="dxa" w="2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AAR Section 5</t>
            </r>
          </p>
        </tc>
        <tc>
          <tcPr>
            <tcW type="dxa" w="11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6</t>
            </r>
          </p>
        </tc>
        <tc>
          <tcPr>
            <tcW type="dxa" w="214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AAR Executive Summary</t>
            </r>
          </p>
        </tc>
        <tc>
          <tcPr>
            <tcW type="dxa" w="30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Summary of findings, strengths, and recommendations.</t>
            </r>
          </p>
        </tc>
        <tc>
          <tcPr>
            <tcW type="dxa" w="26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AAR Section 1, or the standalone Executive Summary</t>
            </r>
          </p>
        </tc>
        <tc>
          <tcPr>
            <tcW type="dxa" w="11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7</t>
            </r>
          </p>
        </tc>
        <tc>
          <tcPr>
            <tcW type="dxa" w="214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Findings Summary Matrix</t>
            </r>
          </p>
        </tc>
        <tc>
          <tcPr>
            <tcW type="dxa" w="30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Complete list of findings with severity ratings, capability areas, and framework mapping.</t>
            </r>
          </p>
        </tc>
        <tc>
          <tcPr>
            <tcW type="dxa" w="2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AAR Section 8</t>
            </r>
          </p>
        </tc>
        <tc>
          <tcPr>
            <tcW type="dxa" w="11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8</t>
            </r>
          </p>
        </tc>
        <tc>
          <tcPr>
            <tcW type="dxa" w="214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Improvement Plan</t>
            </r>
          </p>
        </tc>
        <tc>
          <tcPr>
            <tcW type="dxa" w="30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Documented corrective actions with owners and timelines.</t>
            </r>
          </p>
        </tc>
        <tc>
          <tcPr>
            <tcW type="dxa" w="260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AAR Appendix A / Improvement Plan Tracker.xlsx (06 - Report folder)</t>
            </r>
          </p>
        </tc>
        <tc>
          <tcPr>
            <tcW type="dxa" w="1150"/>
            <shd fill="FFFFFF"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r>
        <tc>
          <tcPr>
            <tcW type="dxa" w="42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9</t>
            </r>
          </p>
        </tc>
        <tc>
          <tcPr>
            <tcW type="dxa" w="214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Participant Feedback Summary</t>
            </r>
          </p>
        </tc>
        <tc>
          <tcPr>
            <tcW type="dxa" w="30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Evidence of exercise evaluation and participant engagement.</t>
            </r>
          </p>
        </tc>
        <tc>
          <tcPr>
            <tcW type="dxa" w="260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Compiled from participant feedback forms</t>
            </r>
          </p>
        </tc>
        <tc>
          <tcPr>
            <tcW type="dxa" w="1150"/>
            <shd fill="F2F2F2" val="clear"/>
            <tcMar>
              <top type="dxa" w="70"/>
              <left type="dxa" w="110"/>
              <bottom type="dxa" w="70"/>
              <right type="dxa" w="110"/>
            </tcMar>
            <vAlign val="top"/>
          </tcPr>
          <p>
            <pPr>
              <spacing after="40" before="0" line="276"/>
            </pPr>
            <r>
              <rPr>
                <rFonts ascii="Calibri" cs="Calibri" eastAsia="Calibri" hAnsi="Calibri"/>
                <color val="404040"/>
                <sz val="20"/>
                <szCs val="20"/>
              </rPr>
              <t xml:space="preserve">☐</t>
            </r>
          </p>
        </tc>
      </tr>
    </tbl>
    <p>
      <pPr>
        <pBdr>
          <top val="single" sz="4" space="1" color="FF0000"/>
          <bottom val="single" sz="4" space="1" color="FF0000"/>
        </pBdr>
        <shd val="clear" color="auto" fill="FFF2F2"/>
      </pPr>
      <r>
        <rPr>
          <b/>
          <color val="CC0000"/>
        </rPr>
        <t xml:space="preserve">⚖ CONSULT LEGAL COUNSEL: This document assembles evidence for auditors, regulators, and insurance carriers. The term ‘attestation’ and ‘completion certificate’ carry specific legal weight in some jurisdictions and regulatory frameworks. Have your attorney review the language you use in the cover letter or completion certificate to ensure it accurately represents what the exercise did and did not evaluate. Overstating the exercise scope in compliance documentation creates significant liability exposure.</t>
      </r>
    </p>
    <p>
      <pPr>
        <spacing after="12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595959" sz="24"/>
              <bottom val="none" color="FFFFFF" sz="0"/>
              <right val="none" color="FFFFFF" sz="0"/>
            </tcBorders>
            <shd fill="F2F2F2" val="clear"/>
            <tcMar>
              <top type="dxa" w="100"/>
              <left type="dxa" w="160"/>
              <bottom type="dxa" w="100"/>
              <right type="dxa" w="160"/>
            </tcMar>
          </tcPr>
          <p>
            <pPr>
              <spacing after="60"/>
            </pPr>
            <r>
              <rPr>
                <rFonts ascii="Calibri" cs="Calibri" eastAsia="Calibri" hAnsi="Calibri"/>
                <b/>
                <bCs/>
                <color val="595959"/>
                <sz val="20"/>
                <szCs val="20"/>
              </rPr>
              <t xml:space="preserve">NOTE: Where Framework Mapping Lives</t>
            </r>
          </p>
          <p>
            <pPr>
              <spacing after="40" before="0" line="276"/>
            </pPr>
            <r>
              <rPr>
                <rFonts ascii="Calibri" cs="Calibri" eastAsia="Calibri" hAnsi="Calibri"/>
                <color val="404040"/>
                <sz val="20"/>
                <szCs val="20"/>
              </rPr>
              <t xml:space="preserve">There is no separate framework-mapping document in this package. Each finding carries its own framework mapping (NIST CSF 2.0, HIPAA, PCI-DSS, CMMC, SOC 2, ISO 27001, as applicable) as the fourth element of the four-part finding structure, and those mappings appear in the Findings Summary Matrix (item 7). Auditors who ask “which findings touch our framework?” get their answer from the matrix.</t>
            </r>
          </p>
        </tc>
      </tr>
    </tbl>
    <p>
      <r>
        <br type="page"/>
      </r>
    </p>
    <p>
      <pPr>
        <pStyle val="Heading1"/>
        <keepNext/>
        <spacing after="140" before="320"/>
      </pPr>
      <r>
        <rPr>
          <rFonts ascii="Calibri" cs="Calibri" eastAsia="Calibri" hAnsi="Calibri"/>
          <b/>
          <bCs/>
          <color val="1F3864"/>
          <sz val="30"/>
          <szCs val="30"/>
        </rPr>
        <t xml:space="preserve">Framework-Specific Guidance</t>
      </r>
    </p>
    <p>
      <pPr>
        <pBdr>
          <top val="single" sz="4" space="1" color="FF0000"/>
          <bottom val="single" sz="4" space="1" color="FF0000"/>
        </pBdr>
        <shd val="clear" color="auto" fill="FFF2F2"/>
      </pPr>
      <r>
        <rPr>
          <b/>
          <color val="CC0000"/>
        </rPr>
        <t xml:space="preserve">⚖ CONSULT LEGAL COUNSEL: The framework-specific guidance in this section identifies which exercise elements may support compliance requirements. It does not constitute a compliance determination. Some regulators distinguish between ‘documentation of a test’ and ‘certification of compliance’, these are not the same thing, and conflating them can create regulatory and legal risk. Have your attorney review how you characterize this evidence package in communications with auditors and regulators.</t>
      </r>
    </p>
    <p>
      <pPr>
        <pStyle val="Heading2"/>
        <keepNext/>
        <spacing after="110" before="240"/>
      </pPr>
      <r>
        <rPr>
          <rFonts ascii="Calibri" cs="Calibri" eastAsia="Calibri" hAnsi="Calibri"/>
          <b/>
          <bCs/>
          <color val="2E74B5"/>
          <sz val="25"/>
          <szCs val="25"/>
        </rPr>
        <t xml:space="preserve">HIPAA §164.308(a)(8): Evaluation</t>
      </r>
    </p>
    <p>
      <pPr>
        <spacing after="120" before="0" line="276"/>
      </pPr>
      <r>
        <rPr>
          <rFonts ascii="Calibri" cs="Calibri" eastAsia="Calibri" hAnsi="Calibri"/>
          <color val="404040"/>
          <sz val="21"/>
          <szCs val="21"/>
        </rPr>
        <t xml:space="preserve">HIPAA requires covered entities to perform periodic technical and nontechnical evaluations. The evidence package demonstrates that a discussion-based (nontechnical) evaluation was conducted to assess the organization’s security policies and procedures in practice. Include the AAR Executive Summary, the Findings Summary Matrix, and the Improvement Plan. Emphasize findings related to PHI protection, breach notification procedures, and access controls.</t>
      </r>
    </p>
    <p>
      <pPr>
        <pStyle val="Heading2"/>
        <keepNext/>
        <spacing after="110" before="240"/>
      </pPr>
      <r>
        <rPr>
          <rFonts ascii="Calibri" cs="Calibri" eastAsia="Calibri" hAnsi="Calibri"/>
          <b/>
          <bCs/>
          <color val="2E74B5"/>
          <sz val="25"/>
          <szCs val="25"/>
        </rPr>
        <t xml:space="preserve">PCI-DSS v4.0 Requirement 12.10.2</t>
      </r>
    </p>
    <p>
      <pPr>
        <spacing after="120" before="0" line="276"/>
      </pPr>
      <r>
        <rPr>
          <rFonts ascii="Calibri" cs="Calibri" eastAsia="Calibri" hAnsi="Calibri"/>
          <color val="404040"/>
          <sz val="21"/>
          <szCs val="21"/>
        </rPr>
        <t xml:space="preserve">PCI-DSS requires testing of the incident response plan at least annually. The evidence package demonstrates that the IR plan was exercised through a tabletop discussion. Include the Exercise Objectives (showing IR plan testing was a stated objective), the Scenario Summary (showing a relevant threat scenario was used), and the findings related to IR plan effectiveness.</t>
      </r>
    </p>
    <p>
      <pPr>
        <pStyle val="Heading2"/>
        <keepNext/>
        <spacing after="110" before="240"/>
      </pPr>
      <r>
        <rPr>
          <rFonts ascii="Calibri" cs="Calibri" eastAsia="Calibri" hAnsi="Calibri"/>
          <b/>
          <bCs/>
          <color val="2E74B5"/>
          <sz val="25"/>
          <szCs val="25"/>
        </rPr>
        <t xml:space="preserve">SOC 2 CC7.4 / CC7.5</t>
      </r>
    </p>
    <p>
      <pPr>
        <spacing after="120" before="0" line="276"/>
      </pPr>
      <r>
        <rPr>
          <rFonts ascii="Calibri" cs="Calibri" eastAsia="Calibri" hAnsi="Calibri"/>
          <color val="404040"/>
          <sz val="21"/>
          <szCs val="21"/>
        </rPr>
        <t xml:space="preserve">SOC 2 criteria require organizations to respond to identified security incidents and to recover from them. Evidence that tabletop exercises are conducted demonstrates that the organization tests its response and recovery capabilities. Include the full package, with emphasis on the exercise objectives, the findings with their severity ratings, and the remediation tracking in the Improvement Plan.</t>
      </r>
    </p>
    <p>
      <pPr>
        <pStyle val="Heading2"/>
        <keepNext/>
        <spacing after="110" before="240"/>
      </pPr>
      <r>
        <rPr>
          <rFonts ascii="Calibri" cs="Calibri" eastAsia="Calibri" hAnsi="Calibri"/>
          <b/>
          <bCs/>
          <color val="2E74B5"/>
          <sz val="25"/>
          <szCs val="25"/>
        </rPr>
        <t xml:space="preserve">CMMC Level 2 §3.6.3</t>
      </r>
    </p>
    <p>
      <pPr>
        <spacing after="120" before="0" line="276"/>
      </pPr>
      <r>
        <rPr>
          <rFonts ascii="Calibri" cs="Calibri" eastAsia="Calibri" hAnsi="Calibri"/>
          <color val="404040"/>
          <sz val="21"/>
          <szCs val="21"/>
        </rPr>
        <t xml:space="preserve">CMMC requires organizations to test their incident response capability. The evidence package supports this requirement. Include the full package, with emphasis on the exercise objectives, the scenario design, and the Improvement Plan.</t>
      </r>
    </p>
    <p>
      <pPr>
        <pStyle val="Heading2"/>
        <keepNext/>
        <spacing after="110" before="240"/>
      </pPr>
      <r>
        <rPr>
          <rFonts ascii="Calibri" cs="Calibri" eastAsia="Calibri" hAnsi="Calibri"/>
          <b/>
          <bCs/>
          <color val="2E74B5"/>
          <sz val="25"/>
          <szCs val="25"/>
        </rPr>
        <t xml:space="preserve">Cyber Insurance</t>
      </r>
    </p>
    <p>
      <pPr>
        <spacing after="120" before="0" line="276"/>
      </pPr>
      <r>
        <rPr>
          <rFonts ascii="Calibri" cs="Calibri" eastAsia="Calibri" hAnsi="Calibri"/>
          <color val="404040"/>
          <sz val="21"/>
          <szCs val="21"/>
        </rPr>
        <t xml:space="preserve">Many carriers view regular, documented resilience testing favorably when underwriting or renewing cyber coverage, and some request evidence of tabletop exercises. Requirements vary widely by carrier. Consult the client’s broker for carrier-specific expectations, and make no representations about pricing or coverage outcomes.</t>
      </r>
    </p>
    <p>
      <pPr>
        <spacing after="120" before="0" line="276"/>
      </pPr>
      <r>
        <rPr>
          <rFonts ascii="Calibri" cs="Calibri" eastAsia="Calibri" hAnsi="Calibri"/>
          <color val="404040"/>
          <sz val="21"/>
          <szCs val="21"/>
        </rPr>
        <t xml:space="preserve">Carriers rarely need the full detailed AAR. A sanitized version typically includes: exercise completion evidence (certificate and sign-in sheet), the Executive Summary, the Findings Summary Matrix with severity ratings, and the Improvement Plan showing remediation progress.</t>
      </r>
    </p>
    <p>
      <pPr>
        <pBdr>
          <top val="single" sz="4" space="1" color="FF0000"/>
          <bottom val="single" sz="4" space="1" color="FF0000"/>
        </pBdr>
        <shd val="clear" color="auto" fill="FFF2F2"/>
      </pPr>
      <r>
        <rPr>
          <b/>
          <color val="CC0000"/>
        </rPr>
        <t xml:space="preserve">⚖ CONSULT LEGAL COUNSEL: Never make specific representations to insurance carriers about premium impacts, coverage outcomes, or underwriting benefits of the Pulse Check exercise. Misrepresentations to insurers (even unintentional) can jeopardize coverage. Direct clients to their broker for carrier-specific guidance and ensure your language is limited to documenting what the exercise tested and what it found.</t>
      </r>
    </p>
    <p>
      <pPr>
        <spacing after="120"/>
      </pPr>
    </p>
    <p>
      <pPr>
        <pStyle val="Heading1"/>
        <keepNext/>
        <spacing after="140" before="320"/>
      </pPr>
      <r>
        <rPr>
          <rFonts ascii="Calibri" cs="Calibri" eastAsia="Calibri" hAnsi="Calibri"/>
          <b/>
          <bCs/>
          <color val="1F3864"/>
          <sz val="30"/>
          <szCs val="30"/>
        </rPr>
        <t xml:space="preserve">Package Assembly Instructions</t>
      </r>
    </p>
    <p>
      <pPr>
        <pStyle val="ListParagraph"/>
        <numPr>
          <ilvl val="0"/>
          <numId val="2"/>
        </numPr>
        <spacing after="80" line="276"/>
      </pPr>
      <r>
        <rPr>
          <rFonts ascii="Calibri" cs="Calibri" eastAsia="Calibri" hAnsi="Calibri"/>
          <color val="404040"/>
          <sz val="21"/>
          <szCs val="21"/>
        </rPr>
        <t xml:space="preserve">Assemble the documents in the order listed in the contents checklist.</t>
      </r>
    </p>
    <p>
      <pPr>
        <pStyle val="ListParagraph"/>
        <numPr>
          <ilvl val="0"/>
          <numId val="2"/>
        </numPr>
        <spacing after="80" line="276"/>
      </pPr>
      <r>
        <rPr>
          <rFonts ascii="Calibri" cs="Calibri" eastAsia="Calibri" hAnsi="Calibri"/>
          <color val="404040"/>
          <sz val="21"/>
          <szCs val="21"/>
        </rPr>
        <t xml:space="preserve">Include a cover sheet identifying the package contents, the client organization, the exercise date, and the preparer.</t>
      </r>
    </p>
    <p>
      <pPr>
        <pStyle val="ListParagraph"/>
        <numPr>
          <ilvl val="0"/>
          <numId val="2"/>
        </numPr>
        <spacing after="80" line="276"/>
      </pPr>
      <r>
        <rPr>
          <rFonts ascii="Calibri" cs="Calibri" eastAsia="Calibri" hAnsi="Calibri"/>
          <color val="404040"/>
          <sz val="21"/>
          <szCs val="21"/>
        </rPr>
        <t xml:space="preserve">Use final versions only. Draft documents are never included.</t>
      </r>
    </p>
    <p>
      <pPr>
        <pStyle val="ListParagraph"/>
        <numPr>
          <ilvl val="0"/>
          <numId val="2"/>
        </numPr>
        <spacing after="80" line="276"/>
      </pPr>
      <r>
        <rPr>
          <rFonts ascii="Calibri" cs="Calibri" eastAsia="Calibri" hAnsi="Calibri"/>
          <color val="404040"/>
          <sz val="21"/>
          <szCs val="21"/>
        </rPr>
        <t xml:space="preserve">Number all pages sequentially across the entire package so auditors can reference it easily.</t>
      </r>
    </p>
    <p>
      <pPr>
        <pStyle val="ListParagraph"/>
        <numPr>
          <ilvl val="0"/>
          <numId val="2"/>
        </numPr>
        <spacing after="80" line="276"/>
      </pPr>
      <r>
        <rPr>
          <rFonts ascii="Calibri" cs="Calibri" eastAsia="Calibri" hAnsi="Calibri"/>
          <color val="404040"/>
          <sz val="21"/>
          <szCs val="21"/>
        </rPr>
        <t xml:space="preserve">Store the assembled package securely: keep it in access-controlled storage alongside the engagement records, retain it for as long as the engagement letter and the client’s records-retention obligations require (at minimum through the client’s next audit cycle), and log any copies provided.</t>
      </r>
    </p>
    <p>
      <pPr>
        <pStyle val="ListParagraph"/>
        <numPr>
          <ilvl val="0"/>
          <numId val="2"/>
        </numPr>
        <spacing after="80" line="276"/>
      </pPr>
      <r>
        <rPr>
          <rFonts ascii="Calibri" cs="Calibri" eastAsia="Calibri" hAnsi="Calibri"/>
          <color val="404040"/>
          <sz val="21"/>
          <szCs val="21"/>
        </rPr>
        <t xml:space="preserve">Deliver the package to the client’s compliance officer or audit coordinator. The client controls all further distribution to auditors, regulators, and carriers.</t>
      </r>
    </p>
    <p>
      <pPr>
        <spacing after="120"/>
      </pPr>
    </p>
    <tbl>
      <tblPr>
        <tblW type="dxa" w="9360"/>
        <tblBorders>
          <top val="none" color="FFFFFF" sz="0"/>
          <left val="none" color="FFFFFF" sz="0"/>
          <bottom val="none" color="FFFFFF" sz="0"/>
          <right val="none" color="FFFFFF" sz="0"/>
          <insideH val="none" color="FFFFFF" sz="0"/>
          <insideV val="none" color="FFFFFF" sz="0"/>
        </tblBorders>
      </tblPr>
      <tblGrid>
        <gridCol w="9360"/>
      </tblGrid>
      <tr>
        <tc>
          <tcPr>
            <tcW type="dxa" w="9360"/>
            <tcBorders>
              <top val="none" color="FFFFFF" sz="0"/>
              <left val="single" color="595959" sz="24"/>
              <bottom val="none" color="FFFFFF" sz="0"/>
              <right val="none" color="FFFFFF" sz="0"/>
            </tcBorders>
            <shd fill="F2F2F2" val="clear"/>
            <tcMar>
              <top type="dxa" w="100"/>
              <left type="dxa" w="160"/>
              <bottom type="dxa" w="100"/>
              <right type="dxa" w="160"/>
            </tcMar>
          </tcPr>
          <p>
            <pPr>
              <spacing after="60"/>
            </pPr>
            <r>
              <rPr>
                <rFonts ascii="Calibri" cs="Calibri" eastAsia="Calibri" hAnsi="Calibri"/>
                <b/>
                <bCs/>
                <color val="595959"/>
                <sz val="20"/>
                <szCs val="20"/>
              </rPr>
              <t xml:space="preserve">NOTE: Confidentiality</t>
            </r>
          </p>
          <p>
            <pPr>
              <spacing after="40" before="0" line="276"/>
            </pPr>
            <r>
              <rPr>
                <rFonts ascii="Calibri" cs="Calibri" eastAsia="Calibri" hAnsi="Calibri"/>
                <color val="404040"/>
                <sz val="20"/>
                <szCs val="20"/>
              </rPr>
              <t xml:space="preserve">The assembled package contains confidential exercise records, including participant names and identified gaps. Handle it under the same confidentiality terms as the AAR itself, and release it only through the client’s designated compliance contact.</t>
            </r>
          </p>
        </tc>
      </tr>
    </tbl>
    <sectPr>
      <headerReference type="default" ns2:id="rId7"/>
      <footerReference type="default" ns2:id="rId8"/>
      <pgSz w="12240" h="15840" orient="portrait"/>
      <pgMar top="1440" right="1440" bottom="1440" left="1440" header="708" footer="708" gutter="0"/>
      <pgNumType/>
      <docGrid linePitch="360"/>
    </sectPr>
  </body>
</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Calibri" w:cs="Calibri" w:eastAsia="Calibri" w:hAnsi="Calibri"/>
        <w:color w:val="595959"/>
        <w:sz w:val="17"/>
        <w:szCs w:val="17"/>
      </w:rPr>
      <w:t xml:space="preserve">v1.0  ·  Page </w:t>
    </w:r>
    <w:r>
      <w:rPr>
        <w:rFonts w:ascii="Calibri" w:cs="Calibri" w:eastAsia="Calibri" w:hAnsi="Calibri"/>
        <w:color w:val="595959"/>
        <w:sz w:val="17"/>
        <w:szCs w:val="17"/>
      </w:rPr>
      <w:fldChar w:fldCharType="begin"/>
      <w:instrText xml:space="preserve">PAGE</w:instrText>
      <w:fldChar w:fldCharType="separate"/>
      <w:fldChar w:fldCharType="end"/>
    </w:r>
    <w:r>
      <w:rPr>
        <w:rFonts w:ascii="Calibri" w:cs="Calibri" w:eastAsia="Calibri" w:hAnsi="Calibri"/>
        <w:color w:val="595959"/>
        <w:sz w:val="17"/>
        <w:szCs w:val="17"/>
      </w:rPr>
      <w:t xml:space="preserve"> of </w:t>
    </w:r>
    <w:r>
      <w:rPr>
        <w:rFonts w:ascii="Calibri" w:cs="Calibri" w:eastAsia="Calibri" w:hAnsi="Calibri"/>
        <w:color w:val="595959"/>
        <w:sz w:val="17"/>
        <w:szCs w:val="17"/>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3"/>
      </w:pBdr>
    </w:pPr>
    <w:r>
      <w:rPr>
        <w:rFonts w:ascii="Calibri" w:cs="Calibri" w:eastAsia="Calibri" w:hAnsi="Calibri"/>
        <w:color w:val="595959"/>
        <w:sz w:val="17"/>
        <w:szCs w:val="17"/>
      </w:rPr>
      <w:t xml:space="preserve">Business Resilience Pulse Check   |   Compliance Evidence Package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60" w:hanging="230"/>
      </w:pPr>
    </w:lvl>
  </w:abstractNum>
  <w:abstractNum w:abstractNumId="3" w15:restartNumberingAfterBreak="0">
    <w:multiLevelType w:val="hybridMultilevel"/>
    <w:lvl w:ilvl="0" w15:tentative="1">
      <w:start w:val="1"/>
      <w:numFmt w:val="decimal"/>
      <w:lvlText w:val="%1."/>
      <w:lvlJc w:val="left"/>
      <w:pPr>
        <w:ind w:left="460" w:hanging="320"/>
      </w:pPr>
    </w:lvl>
  </w:abstractNum>
  <w:abstractNum w:abstractNumId="4" w15:restartNumberingAfterBreak="0">
    <w:multiLevelType w:val="hybridMultilevel"/>
    <w:lvl w:ilvl="0" w15:tentative="1">
      <w:start w:val="1"/>
      <w:numFmt w:val="decimal"/>
      <w:lvlText w:val="%1."/>
      <w:lvlJc w:val="left"/>
      <w:pPr>
        <w:ind w:left="460" w:hanging="320"/>
      </w:pPr>
    </w:lvl>
  </w:abstractNum>
  <w:abstractNum w:abstractNumId="5" w15:restartNumberingAfterBreak="0">
    <w:multiLevelType w:val="hybridMultilevel"/>
    <w:lvl w:ilvl="0" w15:tentative="1">
      <w:start w:val="1"/>
      <w:numFmt w:val="decimal"/>
      <w:lvlText w:val="%1."/>
      <w:lvlJc w:val="left"/>
      <w:pPr>
        <w:ind w:left="460" w:hanging="320"/>
      </w:pPr>
    </w:lvl>
  </w:abstractNum>
  <w:abstractNum w:abstractNumId="6" w15:restartNumberingAfterBreak="0">
    <w:multiLevelType w:val="hybridMultilevel"/>
    <w:lvl w:ilvl="0" w15:tentative="1">
      <w:start w:val="1"/>
      <w:numFmt w:val="decimal"/>
      <w:lvlText w:val="%1."/>
      <w:lvlJc w:val="left"/>
      <w:pPr>
        <w:ind w:left="460" w:hanging="320"/>
      </w:pPr>
    </w:lvl>
  </w:abstractNum>
  <w:abstractNum w:abstractNumId="7" w15:restartNumberingAfterBreak="0">
    <w:multiLevelType w:val="hybridMultilevel"/>
    <w:lvl w:ilvl="0" w15:tentative="1">
      <w:start w:val="1"/>
      <w:numFmt w:val="decimal"/>
      <w:lvlText w:val="%1."/>
      <w:lvlJc w:val="left"/>
      <w:pPr>
        <w:ind w:left="460" w:hanging="320"/>
      </w:pPr>
    </w:lvl>
  </w:abstractNum>
  <w:abstractNum w:abstractNumId="8" w15:restartNumberingAfterBreak="0">
    <w:multiLevelType w:val="hybridMultilevel"/>
    <w:lvl w:ilvl="0" w15:tentative="1">
      <w:start w:val="1"/>
      <w:numFmt w:val="decimal"/>
      <w:lvlText w:val="%1."/>
      <w:lvlJc w:val="left"/>
      <w:pPr>
        <w:ind w:left="460" w:hanging="320"/>
      </w:pPr>
    </w:lvl>
  </w:abstractNum>
  <w:abstractNum w:abstractNumId="9" w15:restartNumberingAfterBreak="0">
    <w:multiLevelType w:val="hybridMultilevel"/>
    <w:lvl w:ilvl="0" w15:tentative="1">
      <w:start w:val="1"/>
      <w:numFmt w:val="decimal"/>
      <w:lvlText w:val="%1."/>
      <w:lvlJc w:val="left"/>
      <w:pPr>
        <w:ind w:left="460" w:hanging="320"/>
      </w:pPr>
    </w:lvl>
  </w:abstractNum>
  <w:abstractNum w:abstractNumId="10" w15:restartNumberingAfterBreak="0">
    <w:multiLevelType w:val="hybridMultilevel"/>
    <w:lvl w:ilvl="0" w15:tentative="1">
      <w:start w:val="1"/>
      <w:numFmt w:val="decimal"/>
      <w:lvlText w:val="%1."/>
      <w:lvlJc w:val="left"/>
      <w:pPr>
        <w:ind w:left="460" w:hanging="320"/>
      </w:pPr>
    </w:lvl>
  </w:abstractNum>
  <w:num w:numId="1">
    <w:abstractNumId w:val="1"/>
    <w:lvlOverride w:ilvl="0">
      <w:startOverride w:val="1"/>
    </w:lvlOverride>
  </w:num>
  <w:num w:numId="2">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404040"/>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outlineLvl w:val="0"/>
    </w:pPr>
    <w:rPr>
      <w:rFonts w:ascii="Calibri" w:cs="Calibri" w:eastAsia="Calibri" w:hAnsi="Calibri"/>
      <w:b/>
      <w:bCs/>
      <w:color w:val="1F3864"/>
      <w:sz w:val="30"/>
      <w:szCs w:val="30"/>
    </w:rPr>
  </w:style>
  <w:style w:type="paragraph" w:styleId="Heading2">
    <w:name w:val="Heading 2"/>
    <w:basedOn w:val="Normal"/>
    <w:next w:val="Normal"/>
    <w:qFormat/>
    <w:pPr>
      <w:outlineLvl w:val="1"/>
    </w:pPr>
    <w:rPr>
      <w:rFonts w:ascii="Calibri" w:cs="Calibri" w:eastAsia="Calibri" w:hAnsi="Calibri"/>
      <w:b/>
      <w:bCs/>
      <w:color w:val="2E74B5"/>
      <w:sz w:val="25"/>
      <w:szCs w:val="25"/>
    </w:rPr>
  </w:style>
  <w:style w:type="paragraph" w:styleId="Heading3">
    <w:name w:val="Heading 3"/>
    <w:basedOn w:val="Normal"/>
    <w:next w:val="Normal"/>
    <w:qFormat/>
    <w:pPr>
      <w:outlineLvl w:val="2"/>
    </w:pPr>
    <w:rPr>
      <w:rFonts w:ascii="Calibri" w:cs="Calibri" w:eastAsia="Calibri" w:hAnsi="Calibri"/>
      <w:b/>
      <w:bCs/>
      <w:color w:val="1F3864"/>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2026-07-14T21:29:12.053Z</dcterms:created>
  <dcterms:modified xsi:type="dcterms:W3CDTF">2026-07-14T21:29:12.054Z</dcterms:modified>
</cp:coreProperties>
</file>

<file path=docProps/custom.xml><?xml version="1.0" encoding="utf-8"?>
<Properties xmlns="http://schemas.openxmlformats.org/officeDocument/2006/custom-properties" xmlns:vt="http://schemas.openxmlformats.org/officeDocument/2006/docPropsVTypes"/>
</file>